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692" w:rsidRDefault="00FD6692" w:rsidP="00FD6692">
      <w:pPr>
        <w:jc w:val="right"/>
        <w:rPr>
          <w:rFonts w:ascii="黑体" w:eastAsia="黑体" w:hint="eastAsia"/>
          <w:spacing w:val="0"/>
          <w:sz w:val="32"/>
          <w:szCs w:val="32"/>
        </w:rPr>
      </w:pPr>
    </w:p>
    <w:p w:rsidR="00FD6692" w:rsidRDefault="00FD6692" w:rsidP="00FD6692">
      <w:pPr>
        <w:jc w:val="right"/>
        <w:rPr>
          <w:rFonts w:ascii="黑体" w:eastAsia="黑体" w:hint="eastAsia"/>
          <w:spacing w:val="0"/>
          <w:sz w:val="32"/>
          <w:szCs w:val="32"/>
        </w:rPr>
      </w:pPr>
    </w:p>
    <w:p w:rsidR="00FD6692" w:rsidRPr="00B0600D" w:rsidRDefault="00FD6692" w:rsidP="00FD6692">
      <w:pPr>
        <w:spacing w:line="440" w:lineRule="exact"/>
        <w:jc w:val="right"/>
        <w:rPr>
          <w:rFonts w:ascii="黑体" w:eastAsia="黑体" w:hint="eastAsia"/>
          <w:spacing w:val="0"/>
          <w:sz w:val="32"/>
          <w:szCs w:val="32"/>
        </w:rPr>
      </w:pPr>
    </w:p>
    <w:p w:rsidR="00FD6692" w:rsidRPr="00947EBE" w:rsidRDefault="00FD6692" w:rsidP="00FD6692">
      <w:pPr>
        <w:jc w:val="distribute"/>
        <w:rPr>
          <w:rFonts w:ascii="方正小标宋_GBK" w:eastAsia="方正小标宋_GBK" w:hint="eastAsia"/>
          <w:color w:val="FF0000"/>
          <w:spacing w:val="0"/>
          <w:sz w:val="84"/>
          <w:szCs w:val="84"/>
        </w:rPr>
      </w:pPr>
      <w:r w:rsidRPr="00947EBE">
        <w:rPr>
          <w:rFonts w:ascii="方正小标宋_GBK" w:eastAsia="方正小标宋_GBK" w:hint="eastAsia"/>
          <w:color w:val="FF0000"/>
          <w:spacing w:val="0"/>
          <w:sz w:val="84"/>
          <w:szCs w:val="84"/>
        </w:rPr>
        <w:t>中国科学院</w:t>
      </w:r>
      <w:r>
        <w:rPr>
          <w:rFonts w:ascii="方正小标宋_GBK" w:eastAsia="方正小标宋_GBK" w:hint="eastAsia"/>
          <w:color w:val="FF0000"/>
          <w:spacing w:val="0"/>
          <w:sz w:val="84"/>
          <w:szCs w:val="84"/>
        </w:rPr>
        <w:t>厅局</w:t>
      </w:r>
      <w:r w:rsidRPr="00947EBE">
        <w:rPr>
          <w:rFonts w:ascii="方正小标宋_GBK" w:eastAsia="方正小标宋_GBK" w:hint="eastAsia"/>
          <w:color w:val="FF0000"/>
          <w:spacing w:val="0"/>
          <w:sz w:val="84"/>
          <w:szCs w:val="84"/>
        </w:rPr>
        <w:t>文件</w:t>
      </w:r>
    </w:p>
    <w:p w:rsidR="00FD6692" w:rsidRPr="001B2368" w:rsidRDefault="00FD6692" w:rsidP="00FD6692">
      <w:pPr>
        <w:jc w:val="center"/>
        <w:rPr>
          <w:rFonts w:ascii="仿宋_GB2312" w:eastAsia="仿宋_GB2312" w:hint="eastAsia"/>
          <w:sz w:val="32"/>
          <w:szCs w:val="32"/>
        </w:rPr>
      </w:pPr>
    </w:p>
    <w:p w:rsidR="00FD6692" w:rsidRDefault="00FD6692" w:rsidP="00FD6692">
      <w:pPr>
        <w:spacing w:line="400" w:lineRule="exact"/>
        <w:jc w:val="center"/>
        <w:rPr>
          <w:rFonts w:ascii="仿宋_GB2312" w:eastAsia="仿宋_GB2312" w:hint="eastAsia"/>
          <w:sz w:val="32"/>
          <w:szCs w:val="32"/>
        </w:rPr>
      </w:pPr>
    </w:p>
    <w:p w:rsidR="00FD6692" w:rsidRDefault="00FD6692" w:rsidP="00FD6692">
      <w:pPr>
        <w:jc w:val="center"/>
        <w:rPr>
          <w:rFonts w:ascii="仿宋_GB2312" w:eastAsia="仿宋_GB2312" w:hint="eastAsia"/>
          <w:sz w:val="32"/>
          <w:szCs w:val="32"/>
        </w:rPr>
      </w:pPr>
      <w:bookmarkStart w:id="0" w:name="prefix"/>
      <w:r>
        <w:rPr>
          <w:rFonts w:ascii="仿宋_GB2312" w:eastAsia="仿宋_GB2312" w:hint="eastAsia"/>
          <w:sz w:val="32"/>
          <w:szCs w:val="32"/>
        </w:rPr>
        <w:t>条财字</w:t>
      </w:r>
      <w:bookmarkEnd w:id="0"/>
      <w:r>
        <w:rPr>
          <w:rFonts w:ascii="仿宋_GB2312" w:eastAsia="仿宋_GB2312" w:hint="eastAsia"/>
          <w:sz w:val="32"/>
          <w:szCs w:val="32"/>
        </w:rPr>
        <w:t>〔</w:t>
      </w:r>
      <w:bookmarkStart w:id="1" w:name="fwnd"/>
      <w:r>
        <w:rPr>
          <w:rFonts w:ascii="仿宋_GB2312" w:eastAsia="仿宋_GB2312"/>
          <w:sz w:val="32"/>
          <w:szCs w:val="32"/>
        </w:rPr>
        <w:t>2019</w:t>
      </w:r>
      <w:bookmarkEnd w:id="1"/>
      <w:r>
        <w:rPr>
          <w:rFonts w:ascii="仿宋_GB2312" w:eastAsia="仿宋_GB2312" w:hint="eastAsia"/>
          <w:sz w:val="32"/>
          <w:szCs w:val="32"/>
        </w:rPr>
        <w:t>〕</w:t>
      </w:r>
      <w:bookmarkStart w:id="2" w:name="fwwh"/>
      <w:r>
        <w:rPr>
          <w:rFonts w:ascii="仿宋_GB2312" w:eastAsia="仿宋_GB2312"/>
          <w:sz w:val="32"/>
          <w:szCs w:val="32"/>
        </w:rPr>
        <w:t>37</w:t>
      </w:r>
      <w:bookmarkEnd w:id="2"/>
      <w:r>
        <w:rPr>
          <w:rFonts w:ascii="仿宋_GB2312" w:eastAsia="仿宋_GB2312" w:hint="eastAsia"/>
          <w:sz w:val="32"/>
          <w:szCs w:val="32"/>
        </w:rPr>
        <w:t>号</w:t>
      </w:r>
    </w:p>
    <w:p w:rsidR="00FD6692" w:rsidRDefault="00FD6692" w:rsidP="00FD6692">
      <w:pPr>
        <w:rPr>
          <w:rFonts w:ascii="仿宋_GB2312" w:eastAsia="仿宋_GB2312" w:hint="eastAsia"/>
          <w:sz w:val="32"/>
          <w:szCs w:val="32"/>
        </w:rPr>
      </w:pPr>
      <w:bookmarkStart w:id="3" w:name="topTitle"/>
      <w:r>
        <w:rPr>
          <w:rFonts w:ascii="仿宋_GB2312" w:eastAsia="仿宋_GB2312"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64135</wp:posOffset>
                </wp:positionV>
                <wp:extent cx="5615940" cy="0"/>
                <wp:effectExtent l="13335" t="15875" r="19050" b="1270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5BD267" id="_x0000_t32" coordsize="21600,21600" o:spt="32" o:oned="t" path="m,l21600,21600e" filled="f">
                <v:path arrowok="t" fillok="f" o:connecttype="none"/>
                <o:lock v:ext="edit" shapetype="t"/>
              </v:shapetype>
              <v:shape id="直接箭头连接符 1" o:spid="_x0000_s1026" type="#_x0000_t32" style="position:absolute;left:0;text-align:left;margin-left:-2.6pt;margin-top:5.0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" strokecolor="red" strokeweight="2pt"/>
            </w:pict>
          </mc:Fallback>
        </mc:AlternateContent>
      </w:r>
      <w:bookmarkEnd w:id="3"/>
    </w:p>
    <w:p w:rsidR="00FD6692" w:rsidRPr="00034F24" w:rsidRDefault="00FD6692" w:rsidP="00FD6692">
      <w:pPr>
        <w:rPr>
          <w:rFonts w:ascii="仿宋_GB2312" w:eastAsia="仿宋_GB2312" w:hint="eastAsia"/>
          <w:sz w:val="32"/>
          <w:szCs w:val="32"/>
        </w:rPr>
      </w:pPr>
    </w:p>
    <w:p w:rsidR="00FD6692" w:rsidRDefault="00FD6692" w:rsidP="00FD6692">
      <w:pPr>
        <w:spacing w:line="600" w:lineRule="exact"/>
        <w:jc w:val="center"/>
        <w:rPr>
          <w:rFonts w:ascii="方正小标宋_GBK" w:eastAsia="方正小标宋_GBK"/>
          <w:sz w:val="44"/>
          <w:szCs w:val="44"/>
        </w:rPr>
      </w:pPr>
      <w:bookmarkStart w:id="4" w:name="_GoBack"/>
      <w:r>
        <w:rPr>
          <w:rFonts w:ascii="方正小标宋_GBK" w:eastAsia="方正小标宋_GBK" w:hint="eastAsia"/>
          <w:sz w:val="44"/>
          <w:szCs w:val="44"/>
        </w:rPr>
        <w:t>中国科学院条件保障与财务局关于进一步</w:t>
      </w:r>
    </w:p>
    <w:p w:rsidR="00FD6692" w:rsidRPr="0047045F" w:rsidRDefault="00FD6692" w:rsidP="00FD6692">
      <w:pPr>
        <w:spacing w:line="600" w:lineRule="exact"/>
        <w:jc w:val="center"/>
        <w:rPr>
          <w:rFonts w:ascii="方正小标宋_GBK" w:eastAsia="方正小标宋_GBK" w:hint="eastAsia"/>
          <w:sz w:val="44"/>
          <w:szCs w:val="44"/>
        </w:rPr>
      </w:pPr>
      <w:r>
        <w:rPr>
          <w:rFonts w:ascii="方正小标宋_GBK" w:eastAsia="方正小标宋_GBK" w:hint="eastAsia"/>
          <w:sz w:val="44"/>
          <w:szCs w:val="44"/>
        </w:rPr>
        <w:t>完善后补助项目经费管理的通知</w:t>
      </w:r>
      <w:bookmarkEnd w:id="4"/>
    </w:p>
    <w:p w:rsidR="00FD6692" w:rsidRDefault="00FD6692" w:rsidP="00FD6692">
      <w:pPr>
        <w:rPr>
          <w:rFonts w:ascii="仿宋_GB2312" w:eastAsia="仿宋_GB2312" w:hint="eastAsia"/>
          <w:sz w:val="32"/>
          <w:szCs w:val="32"/>
        </w:rPr>
      </w:pPr>
    </w:p>
    <w:p w:rsidR="00166E57" w:rsidRDefault="00FD6692" w:rsidP="00FD6692">
      <w:pPr>
        <w:spacing w:before="240"/>
        <w:rPr>
          <w:rFonts w:ascii="仿宋_GB2312" w:eastAsia="仿宋_GB2312"/>
          <w:sz w:val="32"/>
          <w:szCs w:val="32"/>
        </w:rPr>
      </w:pPr>
      <w:r>
        <w:rPr>
          <w:rFonts w:ascii="仿宋_GB2312" w:eastAsia="仿宋_GB2312" w:hint="eastAsia"/>
          <w:sz w:val="32"/>
          <w:szCs w:val="32"/>
        </w:rPr>
        <w:t>院属各单位、院机关有关部门</w:t>
      </w:r>
      <w:r>
        <w:rPr>
          <w:rFonts w:ascii="仿宋_GB2312" w:eastAsia="仿宋_GB2312" w:hint="eastAsia"/>
          <w:sz w:val="32"/>
          <w:szCs w:val="32"/>
        </w:rPr>
        <w:t>：</w:t>
      </w:r>
    </w:p>
    <w:p w:rsidR="00FD6692" w:rsidRPr="00635676" w:rsidRDefault="00FD6692" w:rsidP="00FD6692">
      <w:pPr>
        <w:widowControl/>
        <w:shd w:val="clear" w:color="auto" w:fill="FFFFFF"/>
        <w:spacing w:before="240" w:line="620" w:lineRule="exact"/>
        <w:ind w:firstLineChars="200" w:firstLine="640"/>
        <w:jc w:val="left"/>
        <w:rPr>
          <w:rFonts w:ascii="仿宋_GB2312" w:eastAsia="仿宋_GB2312" w:hAnsi="仿宋" w:cs="宋体" w:hint="eastAsia"/>
          <w:color w:val="333333"/>
          <w:spacing w:val="0"/>
          <w:kern w:val="0"/>
          <w:sz w:val="32"/>
          <w:szCs w:val="32"/>
        </w:rPr>
      </w:pPr>
      <w:r w:rsidRPr="00635676">
        <w:rPr>
          <w:rFonts w:ascii="仿宋_GB2312" w:eastAsia="仿宋_GB2312" w:hAnsi="仿宋" w:cs="宋体" w:hint="eastAsia"/>
          <w:color w:val="333333"/>
          <w:spacing w:val="0"/>
          <w:kern w:val="0"/>
          <w:sz w:val="32"/>
          <w:szCs w:val="32"/>
        </w:rPr>
        <w:t>为进一步贯彻落实党中央、国务院和院党组关于深化科技资源配置管理改革、盘活存量资源、提高资金使用绩效水平的要求，促进重大成果产出，在《中国科学院关于试行部分项目后补助支持方式的通知》（科发条财字〔2014〕60号）的基础上，结合</w:t>
      </w:r>
      <w:r w:rsidRPr="00635676">
        <w:rPr>
          <w:rFonts w:ascii="仿宋_GB2312" w:eastAsia="仿宋_GB2312" w:hAnsi="仿宋" w:hint="eastAsia"/>
          <w:spacing w:val="0"/>
          <w:sz w:val="32"/>
          <w:szCs w:val="32"/>
        </w:rPr>
        <w:t>《</w:t>
      </w:r>
      <w:r w:rsidRPr="00635676">
        <w:rPr>
          <w:rFonts w:ascii="仿宋_GB2312" w:eastAsia="仿宋_GB2312" w:hAnsi="仿宋" w:cs="宋体" w:hint="eastAsia"/>
          <w:color w:val="333333"/>
          <w:spacing w:val="0"/>
          <w:kern w:val="0"/>
          <w:sz w:val="32"/>
          <w:szCs w:val="32"/>
        </w:rPr>
        <w:t>财政部关于进一步完善中央财政科技和教育资金预算执行管理有关事宜的通知》</w:t>
      </w:r>
      <w:r w:rsidRPr="00635676">
        <w:rPr>
          <w:rFonts w:ascii="仿宋_GB2312" w:eastAsia="仿宋_GB2312" w:hAnsi="仿宋" w:cs="宋体" w:hint="eastAsia"/>
          <w:color w:val="333333"/>
          <w:spacing w:val="0"/>
          <w:kern w:val="0"/>
          <w:sz w:val="32"/>
          <w:szCs w:val="32"/>
        </w:rPr>
        <w:lastRenderedPageBreak/>
        <w:t>（财库〔2018〕96号）要求，现就进一步完善院级后补助项目经费管理通知如下：</w:t>
      </w:r>
    </w:p>
    <w:p w:rsidR="00FD6692" w:rsidRPr="00E50491" w:rsidRDefault="00FD6692" w:rsidP="00FD6692">
      <w:pPr>
        <w:widowControl/>
        <w:shd w:val="clear" w:color="auto" w:fill="FFFFFF"/>
        <w:spacing w:beforeLines="50" w:before="156" w:afterLines="50" w:after="156" w:line="620" w:lineRule="exact"/>
        <w:jc w:val="left"/>
        <w:rPr>
          <w:rFonts w:ascii="黑体" w:eastAsia="黑体" w:hAnsi="黑体" w:cs="宋体" w:hint="eastAsia"/>
          <w:b/>
          <w:bCs/>
          <w:color w:val="333333"/>
          <w:spacing w:val="0"/>
          <w:kern w:val="0"/>
          <w:sz w:val="32"/>
          <w:szCs w:val="32"/>
        </w:rPr>
      </w:pPr>
      <w:r w:rsidRPr="00E50491">
        <w:rPr>
          <w:rFonts w:ascii="微软雅黑" w:eastAsia="微软雅黑" w:hAnsi="微软雅黑" w:cs="宋体" w:hint="eastAsia"/>
          <w:color w:val="333333"/>
          <w:spacing w:val="0"/>
          <w:kern w:val="0"/>
          <w:sz w:val="32"/>
          <w:szCs w:val="32"/>
        </w:rPr>
        <w:t xml:space="preserve">    </w:t>
      </w:r>
      <w:r w:rsidRPr="00E50491">
        <w:rPr>
          <w:rFonts w:ascii="黑体" w:eastAsia="黑体" w:hAnsi="黑体" w:cs="宋体" w:hint="eastAsia"/>
          <w:b/>
          <w:bCs/>
          <w:color w:val="333333"/>
          <w:spacing w:val="0"/>
          <w:kern w:val="0"/>
          <w:sz w:val="32"/>
          <w:szCs w:val="32"/>
        </w:rPr>
        <w:t>一、进一步扩大纳入后补助支持方式的项目范围</w:t>
      </w:r>
    </w:p>
    <w:p w:rsidR="00FD6692" w:rsidRPr="00635676" w:rsidRDefault="00FD6692" w:rsidP="00FD6692">
      <w:pPr>
        <w:widowControl/>
        <w:shd w:val="clear" w:color="auto" w:fill="FFFFFF"/>
        <w:spacing w:before="240" w:line="620" w:lineRule="exact"/>
        <w:ind w:firstLine="645"/>
        <w:rPr>
          <w:rFonts w:ascii="仿宋_GB2312" w:eastAsia="仿宋_GB2312" w:hAnsi="仿宋" w:cs="宋体" w:hint="eastAsia"/>
          <w:color w:val="333333"/>
          <w:spacing w:val="0"/>
          <w:kern w:val="0"/>
          <w:sz w:val="32"/>
          <w:szCs w:val="32"/>
        </w:rPr>
      </w:pPr>
      <w:r w:rsidRPr="00635676">
        <w:rPr>
          <w:rFonts w:ascii="仿宋_GB2312" w:eastAsia="仿宋_GB2312" w:hAnsi="仿宋" w:cs="宋体" w:hint="eastAsia"/>
          <w:color w:val="333333"/>
          <w:spacing w:val="0"/>
          <w:kern w:val="0"/>
          <w:sz w:val="32"/>
          <w:szCs w:val="32"/>
        </w:rPr>
        <w:t>在“璀璨行动”项目、“仪器设备功能开发”、“科技服务网络计划（简称STS计划）”、“弘光专项”等产业化导向明确的项目的基础上，将国际合作人才项目、规划与战略咨询项目、重大科技基础设施开放共享项目、院级重点部署项目、战略性先导科技专项纳入实施后补助支持的范围。纳入后补助支持方式的项目可以是产出目标明确、考核标准客观的项目；也可以是需要项目承担单位盘活存量资金先行启动的项目。</w:t>
      </w:r>
    </w:p>
    <w:p w:rsidR="00FD6692" w:rsidRPr="00E50491" w:rsidRDefault="00FD6692" w:rsidP="00FD6692">
      <w:pPr>
        <w:widowControl/>
        <w:shd w:val="clear" w:color="auto" w:fill="FFFFFF"/>
        <w:spacing w:beforeLines="50" w:before="156" w:afterLines="50" w:after="156" w:line="620" w:lineRule="exact"/>
        <w:ind w:firstLine="646"/>
        <w:rPr>
          <w:rFonts w:ascii="仿宋" w:eastAsia="仿宋" w:hAnsi="仿宋" w:cs="宋体" w:hint="eastAsia"/>
          <w:color w:val="333333"/>
          <w:spacing w:val="0"/>
          <w:kern w:val="0"/>
          <w:sz w:val="32"/>
          <w:szCs w:val="32"/>
        </w:rPr>
      </w:pPr>
      <w:r w:rsidRPr="00E50491">
        <w:rPr>
          <w:rFonts w:ascii="黑体" w:eastAsia="黑体" w:hAnsi="黑体" w:cs="宋体" w:hint="eastAsia"/>
          <w:b/>
          <w:bCs/>
          <w:color w:val="333333"/>
          <w:spacing w:val="0"/>
          <w:kern w:val="0"/>
          <w:sz w:val="32"/>
          <w:szCs w:val="32"/>
        </w:rPr>
        <w:t>二、规范后补助项目管理</w:t>
      </w:r>
    </w:p>
    <w:p w:rsidR="00FD6692" w:rsidRPr="00635676" w:rsidRDefault="00FD6692" w:rsidP="00FD6692">
      <w:pPr>
        <w:widowControl/>
        <w:shd w:val="clear" w:color="auto" w:fill="FFFFFF"/>
        <w:spacing w:before="240" w:line="620" w:lineRule="exact"/>
        <w:ind w:firstLine="645"/>
        <w:rPr>
          <w:rFonts w:ascii="仿宋_GB2312" w:eastAsia="仿宋_GB2312" w:hAnsi="仿宋" w:cs="宋体" w:hint="eastAsia"/>
          <w:color w:val="333333"/>
          <w:spacing w:val="0"/>
          <w:kern w:val="0"/>
          <w:sz w:val="32"/>
          <w:szCs w:val="32"/>
        </w:rPr>
      </w:pPr>
      <w:r w:rsidRPr="00635676">
        <w:rPr>
          <w:rFonts w:ascii="仿宋_GB2312" w:eastAsia="仿宋_GB2312" w:hAnsi="仿宋" w:cs="宋体" w:hint="eastAsia"/>
          <w:b/>
          <w:bCs/>
          <w:color w:val="333333"/>
          <w:spacing w:val="0"/>
          <w:kern w:val="0"/>
          <w:sz w:val="32"/>
          <w:szCs w:val="32"/>
        </w:rPr>
        <w:t>（一）规范项目立项管理。</w:t>
      </w:r>
      <w:r w:rsidRPr="00635676">
        <w:rPr>
          <w:rFonts w:ascii="仿宋_GB2312" w:eastAsia="仿宋_GB2312" w:hAnsi="仿宋" w:cs="宋体" w:hint="eastAsia"/>
          <w:color w:val="333333"/>
          <w:spacing w:val="0"/>
          <w:kern w:val="0"/>
          <w:sz w:val="32"/>
          <w:szCs w:val="32"/>
        </w:rPr>
        <w:t>对于纳入后补助方式支持的项目，项目主管部门应加强事前立项管理，严格论证，科学、合理设定绩效目标。预算管理按照各类项目管理要求实施。项目类型中应明确“后补助”字段，要求承担单位在任务书封面及签批盖章</w:t>
      </w:r>
      <w:proofErr w:type="gramStart"/>
      <w:r w:rsidRPr="00635676">
        <w:rPr>
          <w:rFonts w:ascii="仿宋_GB2312" w:eastAsia="仿宋_GB2312" w:hAnsi="仿宋" w:cs="宋体" w:hint="eastAsia"/>
          <w:color w:val="333333"/>
          <w:spacing w:val="0"/>
          <w:kern w:val="0"/>
          <w:sz w:val="32"/>
          <w:szCs w:val="32"/>
        </w:rPr>
        <w:t>页明确</w:t>
      </w:r>
      <w:proofErr w:type="gramEnd"/>
      <w:r w:rsidRPr="00635676">
        <w:rPr>
          <w:rFonts w:ascii="仿宋_GB2312" w:eastAsia="仿宋_GB2312" w:hAnsi="仿宋" w:cs="宋体" w:hint="eastAsia"/>
          <w:color w:val="333333"/>
          <w:spacing w:val="0"/>
          <w:kern w:val="0"/>
          <w:sz w:val="32"/>
          <w:szCs w:val="32"/>
        </w:rPr>
        <w:t>标识。项目主管部门每年应将批准立项的后补助项目</w:t>
      </w:r>
      <w:proofErr w:type="gramStart"/>
      <w:r w:rsidRPr="00635676">
        <w:rPr>
          <w:rFonts w:ascii="仿宋_GB2312" w:eastAsia="仿宋_GB2312" w:hAnsi="仿宋" w:cs="宋体" w:hint="eastAsia"/>
          <w:color w:val="333333"/>
          <w:spacing w:val="0"/>
          <w:kern w:val="0"/>
          <w:sz w:val="32"/>
          <w:szCs w:val="32"/>
        </w:rPr>
        <w:t>报条件</w:t>
      </w:r>
      <w:proofErr w:type="gramEnd"/>
      <w:r w:rsidRPr="00635676">
        <w:rPr>
          <w:rFonts w:ascii="仿宋_GB2312" w:eastAsia="仿宋_GB2312" w:hAnsi="仿宋" w:cs="宋体" w:hint="eastAsia"/>
          <w:color w:val="333333"/>
          <w:spacing w:val="0"/>
          <w:kern w:val="0"/>
          <w:sz w:val="32"/>
          <w:szCs w:val="32"/>
        </w:rPr>
        <w:t>保障与财务局备案。</w:t>
      </w:r>
    </w:p>
    <w:p w:rsidR="00FD6692" w:rsidRPr="00635676" w:rsidRDefault="00FD6692" w:rsidP="00FD6692">
      <w:pPr>
        <w:spacing w:before="240" w:line="620" w:lineRule="exact"/>
        <w:ind w:firstLineChars="200" w:firstLine="643"/>
        <w:rPr>
          <w:rFonts w:ascii="仿宋_GB2312" w:eastAsia="仿宋_GB2312" w:hAnsi="仿宋" w:cs="宋体" w:hint="eastAsia"/>
          <w:color w:val="333333"/>
          <w:spacing w:val="0"/>
          <w:kern w:val="0"/>
          <w:sz w:val="32"/>
          <w:szCs w:val="32"/>
        </w:rPr>
      </w:pPr>
      <w:r w:rsidRPr="00635676">
        <w:rPr>
          <w:rFonts w:ascii="仿宋_GB2312" w:eastAsia="仿宋_GB2312" w:hAnsi="仿宋" w:cs="宋体" w:hint="eastAsia"/>
          <w:b/>
          <w:bCs/>
          <w:color w:val="333333"/>
          <w:spacing w:val="0"/>
          <w:kern w:val="0"/>
          <w:sz w:val="32"/>
          <w:szCs w:val="32"/>
        </w:rPr>
        <w:t>（二）加强后补助项目和实施效果的评价</w:t>
      </w:r>
      <w:r w:rsidRPr="00635676">
        <w:rPr>
          <w:rFonts w:ascii="仿宋_GB2312" w:eastAsia="仿宋_GB2312" w:hAnsi="仿宋" w:cs="宋体" w:hint="eastAsia"/>
          <w:color w:val="333333"/>
          <w:spacing w:val="0"/>
          <w:kern w:val="0"/>
          <w:sz w:val="32"/>
          <w:szCs w:val="32"/>
        </w:rPr>
        <w:t>。后补助项目主管部门将会同条件保障与财务</w:t>
      </w:r>
      <w:proofErr w:type="gramStart"/>
      <w:r w:rsidRPr="00635676">
        <w:rPr>
          <w:rFonts w:ascii="仿宋_GB2312" w:eastAsia="仿宋_GB2312" w:hAnsi="仿宋" w:cs="宋体" w:hint="eastAsia"/>
          <w:color w:val="333333"/>
          <w:spacing w:val="0"/>
          <w:kern w:val="0"/>
          <w:sz w:val="32"/>
          <w:szCs w:val="32"/>
        </w:rPr>
        <w:t>局逐步</w:t>
      </w:r>
      <w:proofErr w:type="gramEnd"/>
      <w:r w:rsidRPr="00635676">
        <w:rPr>
          <w:rFonts w:ascii="仿宋_GB2312" w:eastAsia="仿宋_GB2312" w:hAnsi="仿宋" w:cs="宋体" w:hint="eastAsia"/>
          <w:color w:val="333333"/>
          <w:spacing w:val="0"/>
          <w:kern w:val="0"/>
          <w:sz w:val="32"/>
          <w:szCs w:val="32"/>
        </w:rPr>
        <w:t>开展后补助项目综</w:t>
      </w:r>
      <w:r w:rsidRPr="00635676">
        <w:rPr>
          <w:rFonts w:ascii="仿宋_GB2312" w:eastAsia="仿宋_GB2312" w:hAnsi="仿宋" w:cs="宋体" w:hint="eastAsia"/>
          <w:color w:val="333333"/>
          <w:spacing w:val="0"/>
          <w:kern w:val="0"/>
          <w:sz w:val="32"/>
          <w:szCs w:val="32"/>
        </w:rPr>
        <w:lastRenderedPageBreak/>
        <w:t>合绩效评价。采取用户评价、用户满意度调查等方式对实施效果跟踪评价，重点关注后补助项目科技研发活动和成果的可持续性，并将绩效评价的结果作为以后的申报资格条件之一。</w:t>
      </w:r>
    </w:p>
    <w:p w:rsidR="00FD6692" w:rsidRPr="00E50491" w:rsidRDefault="00FD6692" w:rsidP="00FD6692">
      <w:pPr>
        <w:widowControl/>
        <w:shd w:val="clear" w:color="auto" w:fill="FFFFFF"/>
        <w:spacing w:beforeLines="50" w:before="156" w:afterLines="50" w:after="156" w:line="620" w:lineRule="exact"/>
        <w:ind w:firstLine="646"/>
        <w:rPr>
          <w:rFonts w:ascii="黑体" w:eastAsia="黑体" w:hAnsi="黑体" w:cs="宋体" w:hint="eastAsia"/>
          <w:b/>
          <w:bCs/>
          <w:color w:val="333333"/>
          <w:spacing w:val="0"/>
          <w:kern w:val="0"/>
          <w:sz w:val="32"/>
          <w:szCs w:val="32"/>
        </w:rPr>
      </w:pPr>
      <w:r w:rsidRPr="00E50491">
        <w:rPr>
          <w:rFonts w:ascii="黑体" w:eastAsia="黑体" w:hAnsi="黑体" w:cs="宋体" w:hint="eastAsia"/>
          <w:b/>
          <w:bCs/>
          <w:color w:val="333333"/>
          <w:spacing w:val="0"/>
          <w:kern w:val="0"/>
          <w:sz w:val="32"/>
          <w:szCs w:val="32"/>
        </w:rPr>
        <w:t>三、规范后补助项目经费管理</w:t>
      </w:r>
    </w:p>
    <w:p w:rsidR="00FD6692" w:rsidRPr="00635676" w:rsidRDefault="00FD6692" w:rsidP="00FD6692">
      <w:pPr>
        <w:widowControl/>
        <w:shd w:val="clear" w:color="auto" w:fill="FFFFFF"/>
        <w:spacing w:before="240" w:line="620" w:lineRule="exact"/>
        <w:ind w:firstLine="645"/>
        <w:rPr>
          <w:rFonts w:ascii="仿宋_GB2312" w:eastAsia="仿宋_GB2312" w:hAnsi="仿宋" w:cs="宋体" w:hint="eastAsia"/>
          <w:color w:val="333333"/>
          <w:spacing w:val="0"/>
          <w:kern w:val="0"/>
          <w:sz w:val="32"/>
          <w:szCs w:val="32"/>
        </w:rPr>
      </w:pPr>
      <w:r w:rsidRPr="00635676">
        <w:rPr>
          <w:rFonts w:ascii="仿宋_GB2312" w:eastAsia="仿宋_GB2312" w:hAnsi="仿宋" w:cs="宋体" w:hint="eastAsia"/>
          <w:b/>
          <w:bCs/>
          <w:color w:val="333333"/>
          <w:spacing w:val="0"/>
          <w:kern w:val="0"/>
          <w:sz w:val="32"/>
          <w:szCs w:val="32"/>
        </w:rPr>
        <w:t>（一）拓宽后补助项目资金来源</w:t>
      </w:r>
      <w:r w:rsidRPr="00635676">
        <w:rPr>
          <w:rFonts w:ascii="仿宋_GB2312" w:eastAsia="仿宋_GB2312" w:hAnsi="仿宋" w:cs="宋体" w:hint="eastAsia"/>
          <w:color w:val="333333"/>
          <w:spacing w:val="0"/>
          <w:kern w:val="0"/>
          <w:sz w:val="32"/>
          <w:szCs w:val="32"/>
        </w:rPr>
        <w:t>。后补助项目资金来源可包括：研究所统筹使用的自有资金和项目结余资金；通过科技成果转移转化的用户单位或企业投入前期经费；基本科研业务费；以及国家各类科研任务暂时闲置资金等。</w:t>
      </w:r>
    </w:p>
    <w:p w:rsidR="00FD6692" w:rsidRPr="00635676" w:rsidRDefault="00FD6692" w:rsidP="00FD6692">
      <w:pPr>
        <w:spacing w:before="240" w:line="620" w:lineRule="exact"/>
        <w:ind w:firstLine="555"/>
        <w:rPr>
          <w:rFonts w:ascii="仿宋_GB2312" w:eastAsia="仿宋_GB2312" w:hAnsi="仿宋" w:cs="宋体" w:hint="eastAsia"/>
          <w:color w:val="333333"/>
          <w:spacing w:val="0"/>
          <w:kern w:val="0"/>
          <w:sz w:val="32"/>
          <w:szCs w:val="32"/>
        </w:rPr>
      </w:pPr>
      <w:r w:rsidRPr="00635676">
        <w:rPr>
          <w:rFonts w:ascii="仿宋_GB2312" w:eastAsia="仿宋_GB2312" w:hAnsi="仿宋" w:cs="宋体" w:hint="eastAsia"/>
          <w:b/>
          <w:bCs/>
          <w:color w:val="333333"/>
          <w:spacing w:val="0"/>
          <w:kern w:val="0"/>
          <w:sz w:val="32"/>
          <w:szCs w:val="32"/>
        </w:rPr>
        <w:t>（二）规范后补助项目财务管理。</w:t>
      </w:r>
      <w:r w:rsidRPr="00635676">
        <w:rPr>
          <w:rFonts w:ascii="仿宋_GB2312" w:eastAsia="仿宋_GB2312" w:hAnsi="仿宋" w:cs="宋体" w:hint="eastAsia"/>
          <w:color w:val="333333"/>
          <w:spacing w:val="0"/>
          <w:kern w:val="0"/>
          <w:sz w:val="32"/>
          <w:szCs w:val="32"/>
        </w:rPr>
        <w:t>各单位应加强后补助项目会计核算，在ARP系统中单独建立核算账号，严格按照立项时项目课题编码，独立核算，准确归集成本费用。后补助项目课题可采取“赤字运行”方式管理。后补助财政资金到位后，凭借批复的后补助项目任务书、备案清单，</w:t>
      </w:r>
      <w:proofErr w:type="gramStart"/>
      <w:r w:rsidRPr="00635676">
        <w:rPr>
          <w:rFonts w:ascii="仿宋_GB2312" w:eastAsia="仿宋_GB2312" w:hAnsi="仿宋" w:cs="宋体" w:hint="eastAsia"/>
          <w:color w:val="333333"/>
          <w:spacing w:val="0"/>
          <w:kern w:val="0"/>
          <w:sz w:val="32"/>
          <w:szCs w:val="32"/>
        </w:rPr>
        <w:t>经财政</w:t>
      </w:r>
      <w:proofErr w:type="gramEnd"/>
      <w:r w:rsidRPr="00635676">
        <w:rPr>
          <w:rFonts w:ascii="仿宋_GB2312" w:eastAsia="仿宋_GB2312" w:hAnsi="仿宋" w:cs="宋体" w:hint="eastAsia"/>
          <w:color w:val="333333"/>
          <w:spacing w:val="0"/>
          <w:kern w:val="0"/>
          <w:sz w:val="32"/>
          <w:szCs w:val="32"/>
        </w:rPr>
        <w:t>专员办批准后，从本单位零余额账户向本单位实有资金账户划转。</w:t>
      </w:r>
    </w:p>
    <w:p w:rsidR="00FD6692" w:rsidRPr="00635676" w:rsidRDefault="00FD6692" w:rsidP="00FD6692">
      <w:pPr>
        <w:spacing w:before="240" w:line="620" w:lineRule="exact"/>
        <w:ind w:firstLine="555"/>
        <w:rPr>
          <w:rFonts w:ascii="仿宋_GB2312" w:eastAsia="仿宋_GB2312" w:hAnsi="仿宋" w:cs="宋体" w:hint="eastAsia"/>
          <w:color w:val="333333"/>
          <w:spacing w:val="0"/>
          <w:kern w:val="0"/>
          <w:sz w:val="32"/>
          <w:szCs w:val="32"/>
        </w:rPr>
      </w:pPr>
      <w:r w:rsidRPr="00635676">
        <w:rPr>
          <w:rFonts w:ascii="仿宋_GB2312" w:eastAsia="仿宋_GB2312" w:hAnsi="仿宋" w:cs="宋体" w:hint="eastAsia"/>
          <w:b/>
          <w:bCs/>
          <w:color w:val="333333"/>
          <w:spacing w:val="0"/>
          <w:kern w:val="0"/>
          <w:sz w:val="32"/>
          <w:szCs w:val="32"/>
        </w:rPr>
        <w:t>（三）明确后补助资金使用范围。</w:t>
      </w:r>
      <w:r w:rsidRPr="00635676">
        <w:rPr>
          <w:rFonts w:ascii="仿宋_GB2312" w:eastAsia="仿宋_GB2312" w:hAnsi="仿宋" w:cs="宋体" w:hint="eastAsia"/>
          <w:color w:val="333333"/>
          <w:spacing w:val="0"/>
          <w:kern w:val="0"/>
          <w:sz w:val="32"/>
          <w:szCs w:val="32"/>
        </w:rPr>
        <w:t>在保证单位科研任务资金充裕的前提下，对于前期已经由项目承担单位统筹银行存款安排支出的部分，后补助资金可由项目承担单位自行安排使用，不再限定具体用途。对于前期统筹动用基本科研费等垫付的部分，后补助资金可用于科研活动各项支出。</w:t>
      </w:r>
    </w:p>
    <w:p w:rsidR="00FD6692" w:rsidRDefault="00FD6692" w:rsidP="00FD6692">
      <w:pPr>
        <w:spacing w:before="240"/>
        <w:rPr>
          <w:rFonts w:ascii="仿宋_GB2312" w:eastAsia="仿宋_GB2312" w:hAnsi="仿宋" w:cs="宋体"/>
          <w:color w:val="333333"/>
          <w:spacing w:val="0"/>
          <w:kern w:val="0"/>
          <w:sz w:val="32"/>
          <w:szCs w:val="32"/>
        </w:rPr>
      </w:pPr>
      <w:r w:rsidRPr="00635676">
        <w:rPr>
          <w:rFonts w:ascii="仿宋_GB2312" w:eastAsia="仿宋_GB2312" w:hAnsi="仿宋" w:cs="宋体" w:hint="eastAsia"/>
          <w:color w:val="333333"/>
          <w:spacing w:val="0"/>
          <w:kern w:val="0"/>
          <w:sz w:val="32"/>
          <w:szCs w:val="32"/>
        </w:rPr>
        <w:lastRenderedPageBreak/>
        <w:t>院将加强对后补助项目经费管理和使用的检查和监督，对存在弄虚作假、伪造成果、重复申报立项、虚假评价等骗取后补助资金的违规行为，根据具体情况，将停止拨款、追回部分或全部补助经费。</w:t>
      </w:r>
    </w:p>
    <w:p w:rsidR="00FD6692" w:rsidRDefault="00FD6692" w:rsidP="00FD6692">
      <w:pPr>
        <w:spacing w:before="240"/>
        <w:rPr>
          <w:rFonts w:ascii="仿宋_GB2312" w:eastAsia="仿宋_GB2312" w:hAnsi="仿宋" w:cs="宋体"/>
          <w:color w:val="333333"/>
          <w:spacing w:val="0"/>
          <w:kern w:val="0"/>
          <w:sz w:val="32"/>
          <w:szCs w:val="32"/>
        </w:rPr>
      </w:pPr>
    </w:p>
    <w:p w:rsidR="00FD6692" w:rsidRDefault="00FD6692" w:rsidP="00FD6692">
      <w:pPr>
        <w:spacing w:before="240" w:line="600" w:lineRule="exact"/>
        <w:ind w:rightChars="328" w:right="623" w:firstLineChars="1100" w:firstLine="3300"/>
        <w:rPr>
          <w:rFonts w:ascii="仿宋_GB2312" w:eastAsia="仿宋_GB2312" w:hint="eastAsia"/>
          <w:sz w:val="32"/>
          <w:szCs w:val="32"/>
        </w:rPr>
      </w:pPr>
      <w:r>
        <w:rPr>
          <w:rFonts w:ascii="仿宋_GB2312" w:eastAsia="仿宋_GB2312" w:hint="eastAsia"/>
          <w:sz w:val="32"/>
          <w:szCs w:val="32"/>
        </w:rPr>
        <w:t>中国科学院条件保障与财务局</w:t>
      </w:r>
    </w:p>
    <w:p w:rsidR="00FD6692" w:rsidRDefault="00FD6692" w:rsidP="00FD6692">
      <w:pPr>
        <w:spacing w:before="240"/>
        <w:ind w:firstLineChars="1400" w:firstLine="4200"/>
        <w:rPr>
          <w:rFonts w:ascii="仿宋_GB2312" w:eastAsia="仿宋_GB2312"/>
          <w:sz w:val="32"/>
          <w:szCs w:val="32"/>
        </w:rPr>
      </w:pPr>
      <w:bookmarkStart w:id="5" w:name="cwsj"/>
      <w:r>
        <w:rPr>
          <w:rFonts w:ascii="仿宋_GB2312" w:eastAsia="仿宋_GB2312" w:hint="eastAsia"/>
          <w:sz w:val="32"/>
          <w:szCs w:val="32"/>
        </w:rPr>
        <w:t>2019年8月19日</w:t>
      </w:r>
      <w:bookmarkEnd w:id="5"/>
    </w:p>
    <w:p w:rsidR="00FD6692" w:rsidRDefault="00FD6692" w:rsidP="00FD6692">
      <w:pPr>
        <w:spacing w:before="240"/>
        <w:ind w:firstLineChars="1400" w:firstLine="4200"/>
        <w:rPr>
          <w:rFonts w:ascii="仿宋_GB2312" w:eastAsia="仿宋_GB2312"/>
          <w:sz w:val="32"/>
          <w:szCs w:val="32"/>
        </w:rPr>
      </w:pPr>
    </w:p>
    <w:p w:rsidR="00FD6692" w:rsidRDefault="00FD6692" w:rsidP="00FD6692">
      <w:pPr>
        <w:ind w:firstLineChars="1400" w:firstLine="4200"/>
        <w:rPr>
          <w:rFonts w:ascii="仿宋_GB2312" w:eastAsia="仿宋_GB2312"/>
          <w:sz w:val="32"/>
          <w:szCs w:val="32"/>
        </w:rPr>
      </w:pPr>
    </w:p>
    <w:p w:rsidR="00FD6692" w:rsidRDefault="00FD6692" w:rsidP="00FD6692">
      <w:pPr>
        <w:ind w:firstLineChars="1400" w:firstLine="4200"/>
        <w:rPr>
          <w:rFonts w:ascii="仿宋_GB2312" w:eastAsia="仿宋_GB2312"/>
          <w:sz w:val="32"/>
          <w:szCs w:val="32"/>
        </w:rPr>
      </w:pPr>
    </w:p>
    <w:p w:rsidR="00FD6692" w:rsidRDefault="00FD6692" w:rsidP="00FD6692">
      <w:pPr>
        <w:ind w:firstLineChars="1400" w:firstLine="4200"/>
        <w:rPr>
          <w:rFonts w:ascii="仿宋_GB2312" w:eastAsia="仿宋_GB2312"/>
          <w:sz w:val="32"/>
          <w:szCs w:val="32"/>
        </w:rPr>
      </w:pPr>
    </w:p>
    <w:p w:rsidR="00FD6692" w:rsidRDefault="00FD6692" w:rsidP="00FD6692">
      <w:pPr>
        <w:ind w:firstLineChars="1400" w:firstLine="4200"/>
        <w:rPr>
          <w:rFonts w:ascii="仿宋_GB2312" w:eastAsia="仿宋_GB2312"/>
          <w:sz w:val="32"/>
          <w:szCs w:val="32"/>
        </w:rPr>
      </w:pPr>
    </w:p>
    <w:p w:rsidR="00FD6692" w:rsidRDefault="00FD6692" w:rsidP="00FD6692">
      <w:pPr>
        <w:ind w:firstLineChars="1400" w:firstLine="4200"/>
        <w:rPr>
          <w:rFonts w:ascii="仿宋_GB2312" w:eastAsia="仿宋_GB2312" w:hint="eastAsia"/>
          <w:sz w:val="32"/>
          <w:szCs w:val="32"/>
        </w:rPr>
      </w:pPr>
    </w:p>
    <w:p w:rsidR="00FD6692" w:rsidRDefault="00FD6692" w:rsidP="00FD6692">
      <w:pPr>
        <w:ind w:firstLineChars="1400" w:firstLine="4200"/>
        <w:rPr>
          <w:rFonts w:ascii="仿宋_GB2312" w:eastAsia="仿宋_GB2312"/>
          <w:sz w:val="32"/>
          <w:szCs w:val="32"/>
        </w:rPr>
      </w:pPr>
    </w:p>
    <w:p w:rsidR="00FD6692" w:rsidRDefault="00FD6692" w:rsidP="00FD6692">
      <w:pPr>
        <w:ind w:firstLineChars="1400" w:firstLine="4200"/>
        <w:rPr>
          <w:rFonts w:ascii="仿宋_GB2312" w:eastAsia="仿宋_GB2312"/>
          <w:sz w:val="32"/>
          <w:szCs w:val="32"/>
        </w:rPr>
      </w:pPr>
    </w:p>
    <w:p w:rsidR="00FD6692" w:rsidRDefault="00FD6692" w:rsidP="00FD6692">
      <w:pPr>
        <w:spacing w:line="600" w:lineRule="exact"/>
        <w:rPr>
          <w:rFonts w:ascii="仿宋_GB2312" w:eastAsia="仿宋_GB2312" w:hint="eastAsia"/>
          <w:sz w:val="32"/>
          <w:szCs w:val="32"/>
        </w:rPr>
      </w:pPr>
      <w:r>
        <w:rPr>
          <w:rFonts w:ascii="仿宋_GB2312" w:eastAsia="仿宋_GB2312" w:hint="eastAsia"/>
          <w:sz w:val="32"/>
          <w:szCs w:val="32"/>
        </w:rPr>
        <w:t>（此件</w:t>
      </w:r>
      <w:bookmarkStart w:id="6" w:name="informationAttribute"/>
      <w:r>
        <w:rPr>
          <w:rFonts w:ascii="仿宋_GB2312" w:eastAsia="仿宋_GB2312" w:hint="eastAsia"/>
          <w:sz w:val="32"/>
          <w:szCs w:val="32"/>
        </w:rPr>
        <w:t>依申请公开</w:t>
      </w:r>
      <w:bookmarkEnd w:id="6"/>
      <w:r>
        <w:rPr>
          <w:rFonts w:ascii="仿宋_GB2312" w:eastAsia="仿宋_GB2312" w:hint="eastAsia"/>
          <w:sz w:val="32"/>
          <w:szCs w:val="32"/>
        </w:rPr>
        <w:t>）</w:t>
      </w:r>
    </w:p>
    <w:tbl>
      <w:tblPr>
        <w:tblW w:w="0" w:type="auto"/>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5198"/>
        <w:gridCol w:w="3108"/>
      </w:tblGrid>
      <w:tr w:rsidR="00FD6692" w:rsidRPr="00291454" w:rsidTr="008555B6">
        <w:trPr>
          <w:jc w:val="center"/>
        </w:trPr>
        <w:tc>
          <w:tcPr>
            <w:tcW w:w="8946" w:type="dxa"/>
            <w:gridSpan w:val="2"/>
            <w:tcBorders>
              <w:bottom w:val="single" w:sz="4" w:space="0" w:color="000000"/>
            </w:tcBorders>
          </w:tcPr>
          <w:p w:rsidR="00FD6692" w:rsidRPr="00291454" w:rsidRDefault="00FD6692" w:rsidP="008555B6">
            <w:pPr>
              <w:rPr>
                <w:rFonts w:ascii="仿宋_GB2312" w:eastAsia="仿宋_GB2312" w:hint="eastAsia"/>
                <w:sz w:val="28"/>
                <w:szCs w:val="28"/>
              </w:rPr>
            </w:pPr>
            <w:r w:rsidRPr="00291454">
              <w:rPr>
                <w:rFonts w:ascii="仿宋_GB2312" w:eastAsia="仿宋_GB2312" w:hint="eastAsia"/>
                <w:sz w:val="28"/>
                <w:szCs w:val="28"/>
              </w:rPr>
              <w:t>抄送：</w:t>
            </w:r>
            <w:bookmarkStart w:id="7" w:name="csdw"/>
            <w:r>
              <w:rPr>
                <w:rFonts w:ascii="仿宋_GB2312" w:eastAsia="仿宋_GB2312" w:hint="eastAsia"/>
                <w:sz w:val="28"/>
                <w:szCs w:val="28"/>
              </w:rPr>
              <w:t>财政部科教司</w:t>
            </w:r>
            <w:bookmarkEnd w:id="7"/>
            <w:r w:rsidRPr="00635676">
              <w:rPr>
                <w:rFonts w:ascii="仿宋_GB2312" w:eastAsia="仿宋_GB2312" w:hAnsi="仿宋" w:cs="宋体" w:hint="eastAsia"/>
                <w:color w:val="333333"/>
                <w:spacing w:val="0"/>
                <w:kern w:val="0"/>
                <w:sz w:val="32"/>
                <w:szCs w:val="32"/>
              </w:rPr>
              <w:t>。</w:t>
            </w:r>
          </w:p>
        </w:tc>
      </w:tr>
      <w:tr w:rsidR="00FD6692" w:rsidRPr="00291454" w:rsidTr="008555B6">
        <w:trPr>
          <w:jc w:val="center"/>
        </w:trPr>
        <w:tc>
          <w:tcPr>
            <w:tcW w:w="5637" w:type="dxa"/>
            <w:tcBorders>
              <w:top w:val="single" w:sz="4" w:space="0" w:color="000000"/>
              <w:bottom w:val="single" w:sz="12" w:space="0" w:color="000000"/>
              <w:right w:val="nil"/>
            </w:tcBorders>
          </w:tcPr>
          <w:p w:rsidR="00FD6692" w:rsidRPr="00291454" w:rsidRDefault="00FD6692" w:rsidP="008555B6">
            <w:pPr>
              <w:rPr>
                <w:rFonts w:ascii="仿宋_GB2312" w:eastAsia="仿宋_GB2312" w:hint="eastAsia"/>
                <w:sz w:val="28"/>
                <w:szCs w:val="28"/>
              </w:rPr>
            </w:pPr>
            <w:bookmarkStart w:id="8" w:name="yfjg"/>
            <w:r>
              <w:rPr>
                <w:rFonts w:ascii="仿宋_GB2312" w:eastAsia="仿宋_GB2312" w:hint="eastAsia"/>
                <w:sz w:val="28"/>
                <w:szCs w:val="28"/>
              </w:rPr>
              <w:t>中国科学院</w:t>
            </w:r>
            <w:bookmarkEnd w:id="8"/>
          </w:p>
        </w:tc>
        <w:tc>
          <w:tcPr>
            <w:tcW w:w="3309" w:type="dxa"/>
            <w:tcBorders>
              <w:top w:val="single" w:sz="4" w:space="0" w:color="000000"/>
              <w:left w:val="nil"/>
              <w:bottom w:val="single" w:sz="12" w:space="0" w:color="000000"/>
            </w:tcBorders>
          </w:tcPr>
          <w:p w:rsidR="00FD6692" w:rsidRPr="00291454" w:rsidRDefault="00FD6692" w:rsidP="008555B6">
            <w:pPr>
              <w:ind w:rightChars="110" w:right="209"/>
              <w:jc w:val="right"/>
              <w:rPr>
                <w:rFonts w:ascii="仿宋_GB2312" w:eastAsia="仿宋_GB2312" w:hint="eastAsia"/>
                <w:sz w:val="28"/>
                <w:szCs w:val="28"/>
              </w:rPr>
            </w:pPr>
            <w:bookmarkStart w:id="9" w:name="yfsj"/>
            <w:r>
              <w:rPr>
                <w:rFonts w:ascii="仿宋_GB2312" w:eastAsia="仿宋_GB2312" w:hint="eastAsia"/>
                <w:sz w:val="28"/>
                <w:szCs w:val="28"/>
              </w:rPr>
              <w:t>2019年8月19日</w:t>
            </w:r>
            <w:bookmarkEnd w:id="9"/>
            <w:r w:rsidRPr="00291454">
              <w:rPr>
                <w:rFonts w:ascii="仿宋_GB2312" w:eastAsia="仿宋_GB2312" w:hint="eastAsia"/>
                <w:sz w:val="28"/>
                <w:szCs w:val="28"/>
              </w:rPr>
              <w:t>印发</w:t>
            </w:r>
          </w:p>
        </w:tc>
      </w:tr>
    </w:tbl>
    <w:p w:rsidR="00FD6692" w:rsidRPr="00FD6692" w:rsidRDefault="00FD6692" w:rsidP="00FD6692">
      <w:pPr>
        <w:ind w:firstLineChars="1400" w:firstLine="2660"/>
        <w:rPr>
          <w:rFonts w:hint="eastAsia"/>
        </w:rPr>
      </w:pPr>
    </w:p>
    <w:sectPr w:rsidR="00FD6692" w:rsidRPr="00FD66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92"/>
    <w:rsid w:val="00166E57"/>
    <w:rsid w:val="00FD6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E21F"/>
  <w15:chartTrackingRefBased/>
  <w15:docId w15:val="{1BA89B59-487F-40BE-81E2-E9AF51F9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692"/>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D6692"/>
    <w:pPr>
      <w:ind w:leftChars="2500" w:left="100"/>
    </w:pPr>
  </w:style>
  <w:style w:type="character" w:customStyle="1" w:styleId="a4">
    <w:name w:val="日期 字符"/>
    <w:basedOn w:val="a0"/>
    <w:link w:val="a3"/>
    <w:uiPriority w:val="99"/>
    <w:semiHidden/>
    <w:rsid w:val="00FD6692"/>
    <w:rPr>
      <w:rFonts w:ascii="Calibri" w:eastAsia="宋体" w:hAnsi="Calibri" w:cs="Times New Roman"/>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Motata</dc:creator>
  <cp:keywords/>
  <dc:description/>
  <cp:lastModifiedBy>Chen Motata</cp:lastModifiedBy>
  <cp:revision>1</cp:revision>
  <dcterms:created xsi:type="dcterms:W3CDTF">2020-01-10T06:47:00Z</dcterms:created>
  <dcterms:modified xsi:type="dcterms:W3CDTF">2020-01-10T06:51:00Z</dcterms:modified>
</cp:coreProperties>
</file>